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left"/>
        <w:rPr>
          <w:rFonts w:hint="eastAsia" w:ascii="宋体" w:hAnsi="宋体"/>
          <w:b/>
        </w:rPr>
      </w:pPr>
      <w:r>
        <w:rPr>
          <w:rFonts w:hint="eastAsia" w:ascii="宋体" w:hAnsi="宋体"/>
          <w:b/>
        </w:rPr>
        <w:t>附件：</w:t>
      </w:r>
    </w:p>
    <w:p>
      <w:pPr>
        <w:suppressAutoHyphens/>
        <w:jc w:val="left"/>
        <w:rPr>
          <w:rFonts w:ascii="宋体" w:hAnsi="宋体"/>
          <w:b/>
          <w:sz w:val="21"/>
          <w:szCs w:val="21"/>
        </w:rPr>
      </w:pPr>
    </w:p>
    <w:p>
      <w:pPr>
        <w:pStyle w:val="7"/>
        <w:rPr>
          <w:color w:val="auto"/>
        </w:rPr>
      </w:pPr>
      <w:bookmarkStart w:id="0" w:name="_GoBack"/>
      <w:r>
        <w:rPr>
          <w:rFonts w:hint="eastAsia"/>
          <w:color w:val="auto"/>
        </w:rPr>
        <w:t>四川省高等教育自学考试非学历证书课程</w:t>
      </w:r>
      <w:r>
        <w:rPr>
          <w:color w:val="auto"/>
        </w:rPr>
        <w:br w:type="textWrapping"/>
      </w:r>
      <w:r>
        <w:rPr>
          <w:rFonts w:hint="eastAsia"/>
          <w:color w:val="auto"/>
        </w:rPr>
        <w:t>认证办法（试行）</w:t>
      </w:r>
      <w:bookmarkEnd w:id="0"/>
    </w:p>
    <w:p>
      <w:pPr>
        <w:suppressAutoHyphens/>
        <w:rPr>
          <w:rFonts w:hint="eastAsia" w:ascii="宋体" w:hAnsi="宋体"/>
          <w:sz w:val="21"/>
          <w:szCs w:val="21"/>
        </w:rPr>
      </w:pPr>
    </w:p>
    <w:p>
      <w:pPr>
        <w:suppressAutoHyphens/>
        <w:spacing w:line="380" w:lineRule="exact"/>
        <w:ind w:firstLine="480" w:firstLineChars="200"/>
        <w:rPr>
          <w:rFonts w:ascii="宋体" w:hAnsi="宋体"/>
        </w:rPr>
      </w:pPr>
      <w:r>
        <w:rPr>
          <w:rFonts w:hint="eastAsia" w:ascii="宋体" w:hAnsi="宋体"/>
        </w:rPr>
        <w:t>为贯彻落实国家、省的《中长期教育改革和发展规划纲要（2010-2020年）》和四川省招考委、四川省教育厅《关于加快我省高等教育自学考试改革发展的意见》（川招考委〔2011〕21号）精神，发挥自学考试“开放灵活”、“适应性强”的制度优势，扩大自学考试与其他非学历证书课程的沟通衔接，建立自学考试人才培养和能力认证体系，规范和促进自学考试应用型人才培养工作的健康发展，更好地适应和满足企业对实战型、技能型、职业型高素质人才的需要，特制定本办法。</w:t>
      </w:r>
    </w:p>
    <w:p>
      <w:pPr>
        <w:pStyle w:val="6"/>
        <w:adjustRightInd w:val="0"/>
        <w:snapToGrid w:val="0"/>
        <w:spacing w:before="62" w:beforeLines="20" w:after="62" w:afterLines="20" w:line="380" w:lineRule="exact"/>
        <w:rPr>
          <w:color w:val="auto"/>
        </w:rPr>
      </w:pPr>
      <w:r>
        <w:rPr>
          <w:rFonts w:hint="eastAsia"/>
          <w:color w:val="auto"/>
        </w:rPr>
        <w:t>一、认证范围</w:t>
      </w:r>
    </w:p>
    <w:p>
      <w:pPr>
        <w:suppressAutoHyphens/>
        <w:spacing w:line="380" w:lineRule="exact"/>
        <w:ind w:firstLine="480" w:firstLineChars="200"/>
        <w:rPr>
          <w:rFonts w:ascii="宋体" w:hAnsi="宋体"/>
        </w:rPr>
      </w:pPr>
      <w:r>
        <w:rPr>
          <w:rFonts w:hint="eastAsia" w:ascii="宋体" w:hAnsi="宋体"/>
        </w:rPr>
        <w:t>省级及以上国家机关、事业单位和国家级行业组织颁发的非学历证书。</w:t>
      </w:r>
    </w:p>
    <w:p>
      <w:pPr>
        <w:pStyle w:val="6"/>
        <w:adjustRightInd w:val="0"/>
        <w:snapToGrid w:val="0"/>
        <w:spacing w:before="62" w:beforeLines="20" w:after="62" w:afterLines="20" w:line="380" w:lineRule="exact"/>
        <w:rPr>
          <w:color w:val="auto"/>
        </w:rPr>
      </w:pPr>
      <w:r>
        <w:rPr>
          <w:rFonts w:hint="eastAsia"/>
          <w:color w:val="auto"/>
        </w:rPr>
        <w:t>二、认证原则</w:t>
      </w:r>
    </w:p>
    <w:p>
      <w:pPr>
        <w:suppressAutoHyphens/>
        <w:spacing w:line="380" w:lineRule="exact"/>
        <w:ind w:firstLine="480" w:firstLineChars="200"/>
        <w:rPr>
          <w:rFonts w:ascii="宋体" w:hAnsi="宋体"/>
        </w:rPr>
      </w:pPr>
      <w:r>
        <w:rPr>
          <w:rFonts w:hint="eastAsia" w:ascii="宋体" w:hAnsi="宋体"/>
        </w:rPr>
        <w:t>教育部组织开考并认可的非学历证书，按照相关规定进行转免考。其他省级及以上国家机关、事业单位和国家级行业部门颁发的非学历证书必须在评估实证的基础上进行认证。经认证的非学历证书课程占1个专业中1～3门相对应的自学考试学历课程（理论课程）。</w:t>
      </w:r>
    </w:p>
    <w:p>
      <w:pPr>
        <w:pStyle w:val="6"/>
        <w:adjustRightInd w:val="0"/>
        <w:snapToGrid w:val="0"/>
        <w:spacing w:before="62" w:beforeLines="20" w:after="62" w:afterLines="20" w:line="380" w:lineRule="exact"/>
        <w:rPr>
          <w:color w:val="auto"/>
        </w:rPr>
      </w:pPr>
      <w:r>
        <w:rPr>
          <w:rFonts w:hint="eastAsia"/>
          <w:color w:val="auto"/>
        </w:rPr>
        <w:t>三、认证要求</w:t>
      </w:r>
    </w:p>
    <w:p>
      <w:pPr>
        <w:suppressAutoHyphens/>
        <w:spacing w:line="380" w:lineRule="exact"/>
        <w:ind w:firstLine="480" w:firstLineChars="200"/>
        <w:rPr>
          <w:rFonts w:ascii="宋体" w:hAnsi="宋体"/>
        </w:rPr>
      </w:pPr>
      <w:r>
        <w:rPr>
          <w:rFonts w:hint="eastAsia" w:ascii="宋体" w:hAnsi="宋体"/>
        </w:rPr>
        <w:t>（一）主考院校与证书颁发部门共同提出申请，认证工作实行整体认证。不对考生个体进行认证。考生申请认证必须在取得证书的前提下方能申请。</w:t>
      </w:r>
    </w:p>
    <w:p>
      <w:pPr>
        <w:suppressAutoHyphens/>
        <w:spacing w:line="380" w:lineRule="exact"/>
        <w:ind w:firstLine="480" w:firstLineChars="200"/>
        <w:rPr>
          <w:rFonts w:ascii="宋体" w:hAnsi="宋体"/>
        </w:rPr>
      </w:pPr>
      <w:r>
        <w:rPr>
          <w:rFonts w:hint="eastAsia" w:ascii="宋体" w:hAnsi="宋体"/>
        </w:rPr>
        <w:t>（二）认证工作实行准入和退出机制。申请单位在符合认证相关要求时，可提出认证申请；认证过程中发现有弄虚作假、考试组织不严格、宣传不规范、乱收费等违规情况的，省考试院可随时终止认证，并不再受理该项认证的再次申请。</w:t>
      </w:r>
    </w:p>
    <w:p>
      <w:pPr>
        <w:suppressAutoHyphens/>
        <w:spacing w:line="380" w:lineRule="exact"/>
        <w:ind w:firstLine="480" w:firstLineChars="200"/>
        <w:rPr>
          <w:rFonts w:ascii="宋体" w:hAnsi="宋体"/>
        </w:rPr>
      </w:pPr>
      <w:r>
        <w:rPr>
          <w:rFonts w:hint="eastAsia" w:ascii="宋体" w:hAnsi="宋体"/>
        </w:rPr>
        <w:t>（三）申请单位应深入了解申请认证的非学历证书情况，包括证书名称、颁证单位名称、该证书适用的行业和工作种类、取得该证书需学习的课程及使用教材名称、该证书每门课程应取得的分数或掌握的级别（程度）、考核的组织方式或等级（国家或行业等级）。</w:t>
      </w:r>
    </w:p>
    <w:p>
      <w:pPr>
        <w:suppressAutoHyphens/>
        <w:spacing w:line="380" w:lineRule="exact"/>
        <w:ind w:firstLine="360" w:firstLineChars="150"/>
        <w:rPr>
          <w:rFonts w:ascii="宋体" w:hAnsi="宋体"/>
        </w:rPr>
      </w:pPr>
      <w:r>
        <w:rPr>
          <w:rFonts w:hint="eastAsia" w:ascii="宋体" w:hAnsi="宋体"/>
        </w:rPr>
        <w:t>（四）论证要求。申请单位应聘请由主考院校和行业部门组成的不少于3名该学科领域的专家进行认证。专家需具备过硬的学科及研究背景，其论证应充分、科学、客观、合理。申请单位要说明取得该行业非学历证书所学习的课程和使用教材，每门课程考生应掌握何种知识、技能，并论证其与自考相同或相近课程在知识、技能等方面的对应度。若取得的非学历证书需通过的课程与自考课程要求掌握的知识、技能相同，专家可建议免除1～3门相对应的自学考试学历课程（理论课程）。</w:t>
      </w:r>
    </w:p>
    <w:p>
      <w:pPr>
        <w:pStyle w:val="6"/>
        <w:adjustRightInd w:val="0"/>
        <w:snapToGrid w:val="0"/>
        <w:spacing w:before="62" w:beforeLines="20" w:after="62" w:afterLines="20" w:line="380" w:lineRule="exact"/>
        <w:rPr>
          <w:color w:val="auto"/>
        </w:rPr>
      </w:pPr>
      <w:r>
        <w:rPr>
          <w:rFonts w:hint="eastAsia"/>
          <w:color w:val="auto"/>
        </w:rPr>
        <w:t>四、认证程序</w:t>
      </w:r>
    </w:p>
    <w:p>
      <w:pPr>
        <w:suppressAutoHyphens/>
        <w:spacing w:line="380" w:lineRule="exact"/>
        <w:ind w:firstLine="360" w:firstLineChars="150"/>
        <w:rPr>
          <w:rFonts w:ascii="宋体" w:hAnsi="宋体"/>
        </w:rPr>
      </w:pPr>
      <w:r>
        <w:rPr>
          <w:rFonts w:hint="eastAsia" w:ascii="宋体" w:hAnsi="宋体"/>
        </w:rPr>
        <w:t>（一）申请单位首先应提供证书颁发部门的相关纸质材料、证书形式及考试管理办法、收费依据等全部资料。</w:t>
      </w:r>
    </w:p>
    <w:p>
      <w:pPr>
        <w:suppressAutoHyphens/>
        <w:spacing w:line="380" w:lineRule="exact"/>
        <w:ind w:firstLine="480" w:firstLineChars="200"/>
        <w:rPr>
          <w:rFonts w:ascii="宋体" w:hAnsi="宋体"/>
        </w:rPr>
      </w:pPr>
      <w:r>
        <w:rPr>
          <w:rFonts w:hint="eastAsia" w:ascii="宋体" w:hAnsi="宋体"/>
        </w:rPr>
        <w:t>（二）申请单位可根据专业培养目标提出对相应证书课程与自考学历课程沟通、互认、衔接、挂钩等意见。申请单位应在每年3月初，将需要认证的非学历证书及其对应的自考课程采取沟通、互认、衔接、挂钩等方式的建议意见，以书面正式文件形式报四川省教育考试院（自考学历处受理）。同时提交《四川省高等教育自学考试非学历证书课程认证申请、论证表》（见附件1）、《四川省高等教育自学考试非学历证书课程认证承诺书》（见附件2）和非学历证书复印件。</w:t>
      </w:r>
    </w:p>
    <w:p>
      <w:pPr>
        <w:suppressAutoHyphens/>
        <w:spacing w:line="380" w:lineRule="exact"/>
        <w:ind w:firstLine="480" w:firstLineChars="200"/>
        <w:rPr>
          <w:rFonts w:ascii="宋体" w:hAnsi="宋体"/>
        </w:rPr>
      </w:pPr>
      <w:r>
        <w:rPr>
          <w:rFonts w:hint="eastAsia" w:ascii="宋体" w:hAnsi="宋体"/>
        </w:rPr>
        <w:t>（三）申请单位提交报告至四川省教育考试院后，四川省教育考试院将组织专家对申报材料进行复审，审查非学历证书的真实性、权威性及适用行业、专业范围等；审查论证过程、论证材料是否符合规定和要求；审查认证课程是否合理恰当，确保论证的客观公正、科学严谨。</w:t>
      </w:r>
    </w:p>
    <w:p>
      <w:pPr>
        <w:suppressAutoHyphens/>
        <w:spacing w:line="380" w:lineRule="exact"/>
        <w:ind w:firstLine="480" w:firstLineChars="200"/>
        <w:rPr>
          <w:rFonts w:ascii="宋体" w:hAnsi="宋体"/>
        </w:rPr>
      </w:pPr>
      <w:r>
        <w:rPr>
          <w:rFonts w:hint="eastAsia" w:ascii="宋体" w:hAnsi="宋体"/>
        </w:rPr>
        <w:t>（四）公布认证结果。四川省教育考试院将以专函形式将专家论证结果及证书与自考课程的认证范围函告申请单位，并以四川省教育考试院正式文件形式周知各市州招考办和各主考学校自考办。</w:t>
      </w:r>
    </w:p>
    <w:p>
      <w:pPr>
        <w:suppressAutoHyphens/>
        <w:spacing w:line="380" w:lineRule="exact"/>
        <w:ind w:firstLine="480" w:firstLineChars="200"/>
        <w:rPr>
          <w:rFonts w:hint="eastAsia" w:ascii="宋体" w:hAnsi="宋体"/>
        </w:rPr>
      </w:pPr>
      <w:r>
        <w:rPr>
          <w:rFonts w:hint="eastAsia" w:ascii="宋体" w:hAnsi="宋体"/>
        </w:rPr>
        <w:t>（五）适时更新论证结果。随着社会经济发展对人才需求的变化，相关非学历证书考试也势必发生变化。如果旧的证书考试课程调整，申请单位应组织专家按照论证程序重新进行论证，并将认证情况报四川省教育考试院。四川省教育考试院根据情况公布新的认证结果，避免由于非学历证书考试课程的调整影响认证工作的顺利开展。</w:t>
      </w:r>
    </w:p>
    <w:p>
      <w:pPr>
        <w:pStyle w:val="6"/>
        <w:spacing w:before="78" w:after="78" w:line="380" w:lineRule="exact"/>
        <w:rPr>
          <w:rFonts w:hint="eastAsia"/>
          <w:color w:val="auto"/>
        </w:rPr>
      </w:pPr>
      <w:r>
        <w:rPr>
          <w:rFonts w:hint="eastAsia"/>
          <w:color w:val="auto"/>
        </w:rPr>
        <w:t>五、认证方式</w:t>
      </w:r>
    </w:p>
    <w:p>
      <w:pPr>
        <w:suppressAutoHyphens/>
        <w:spacing w:line="380" w:lineRule="exact"/>
        <w:ind w:firstLine="480" w:firstLineChars="200"/>
        <w:rPr>
          <w:rFonts w:hint="eastAsia" w:ascii="宋体" w:hAnsi="宋体"/>
        </w:rPr>
      </w:pPr>
      <w:r>
        <w:rPr>
          <w:rFonts w:hint="eastAsia" w:ascii="宋体" w:hAnsi="宋体"/>
        </w:rPr>
        <w:t>高等教育自学考试非学历证书课程认证工作是我省自学考试改革发展的重要举措，是建立综合改革实验区的重要试点项目，对于推进我省自学考试持续健康发展在、具有重要意义。申请单位需与四川省教育考试院指定的委托部门签订相关协议，明确各方权责利，按照协议规定和要求履职尽责，切实抓好非学历证书课程认证工作。</w:t>
      </w:r>
    </w:p>
    <w:p>
      <w:pPr>
        <w:suppressAutoHyphens/>
        <w:spacing w:line="380" w:lineRule="exact"/>
        <w:ind w:firstLine="480" w:firstLineChars="200"/>
        <w:rPr>
          <w:rFonts w:hint="eastAsia" w:ascii="宋体" w:hAnsi="宋体"/>
        </w:rPr>
      </w:pPr>
      <w:r>
        <w:rPr>
          <w:rFonts w:hint="eastAsia" w:ascii="宋体" w:hAnsi="宋体"/>
        </w:rPr>
        <w:t>认证工作结束后，申请单位应在规定的办理课程转免考时间内，按有关规定和要求向四川省教育考试院报送相应材料，办理课程认定手续。经四川省教育考试院审核后，对符合条件的考试予与课程认定。</w:t>
      </w:r>
    </w:p>
    <w:p>
      <w:pPr>
        <w:pStyle w:val="6"/>
        <w:spacing w:before="78" w:after="78" w:line="380" w:lineRule="exact"/>
        <w:rPr>
          <w:rFonts w:hint="eastAsia"/>
          <w:color w:val="auto"/>
        </w:rPr>
      </w:pPr>
      <w:r>
        <w:rPr>
          <w:rFonts w:hint="eastAsia"/>
          <w:color w:val="auto"/>
        </w:rPr>
        <w:t>六、认证费用</w:t>
      </w:r>
    </w:p>
    <w:p>
      <w:pPr>
        <w:suppressAutoHyphens/>
        <w:spacing w:line="380" w:lineRule="exact"/>
        <w:ind w:firstLine="480" w:firstLineChars="200"/>
        <w:rPr>
          <w:rFonts w:hint="eastAsia" w:ascii="宋体" w:hAnsi="宋体"/>
        </w:rPr>
      </w:pPr>
      <w:r>
        <w:rPr>
          <w:rFonts w:hint="eastAsia" w:ascii="宋体" w:hAnsi="宋体"/>
        </w:rPr>
        <w:t>教育部统一组织开考的非学历证书，按照有关规定由考生支付转免考费用。其他非学历证书的认证费用按认证单位与四川省教育考试院指定的委托部门签订的相关协议办理。</w:t>
      </w:r>
    </w:p>
    <w:p>
      <w:pPr>
        <w:pStyle w:val="6"/>
        <w:spacing w:before="78" w:after="78" w:line="380" w:lineRule="exact"/>
        <w:rPr>
          <w:rFonts w:hint="eastAsia"/>
          <w:color w:val="auto"/>
        </w:rPr>
      </w:pPr>
      <w:r>
        <w:rPr>
          <w:rFonts w:hint="eastAsia"/>
          <w:color w:val="auto"/>
        </w:rPr>
        <w:t>七、本办法由四川省教育考试院制定，由省教育考试院负责解释。</w:t>
      </w:r>
    </w:p>
    <w:p>
      <w:pPr>
        <w:suppressAutoHyphens/>
        <w:spacing w:line="380" w:lineRule="exact"/>
        <w:ind w:firstLine="480" w:firstLineChars="200"/>
        <w:rPr>
          <w:rFonts w:hint="eastAsia" w:ascii="宋体" w:hAnsi="宋体"/>
        </w:rPr>
      </w:pPr>
      <w:r>
        <w:rPr>
          <w:rFonts w:hint="eastAsia" w:ascii="宋体" w:hAnsi="宋体"/>
        </w:rPr>
        <w:t>本办法未竟事宜在试点过程中逐步完善。具体认证实施方法由考试院制定实施细则另文发布。</w:t>
      </w:r>
    </w:p>
    <w:p>
      <w:pPr>
        <w:suppressAutoHyphens/>
        <w:jc w:val="left"/>
        <w:rPr>
          <w:rFonts w:hint="eastAsia" w:ascii="宋体" w:hAnsi="宋体"/>
          <w:b/>
        </w:rPr>
      </w:pPr>
      <w:r>
        <w:rPr>
          <w:rFonts w:ascii="宋体" w:hAnsi="宋体"/>
        </w:rPr>
        <w:br w:type="page"/>
      </w:r>
      <w:r>
        <w:rPr>
          <w:rFonts w:hint="eastAsia" w:ascii="宋体" w:hAnsi="宋体"/>
          <w:b/>
        </w:rPr>
        <w:t>附件1：</w:t>
      </w:r>
    </w:p>
    <w:p>
      <w:pPr>
        <w:suppressAutoHyphens/>
        <w:jc w:val="left"/>
        <w:rPr>
          <w:rFonts w:hint="eastAsia" w:ascii="宋体" w:hAnsi="宋体"/>
          <w:b/>
        </w:rPr>
      </w:pPr>
    </w:p>
    <w:p>
      <w:pPr>
        <w:pStyle w:val="7"/>
        <w:rPr>
          <w:rFonts w:hint="eastAsia"/>
          <w:color w:val="auto"/>
        </w:rPr>
      </w:pPr>
      <w:r>
        <w:rPr>
          <w:rFonts w:hint="eastAsia"/>
          <w:color w:val="auto"/>
        </w:rPr>
        <w:t>四川省高等教育自学考试非学历证书课程认证申请、论证表</w:t>
      </w:r>
    </w:p>
    <w:p>
      <w:pPr>
        <w:suppressAutoHyphens/>
        <w:jc w:val="left"/>
        <w:rPr>
          <w:rFonts w:hint="eastAsia" w:ascii="宋体" w:hAnsi="宋体"/>
        </w:rPr>
      </w:pP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1797"/>
        <w:gridCol w:w="382"/>
        <w:gridCol w:w="1746"/>
        <w:gridCol w:w="260"/>
        <w:gridCol w:w="794"/>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申请单位名称</w:t>
            </w:r>
          </w:p>
        </w:tc>
        <w:tc>
          <w:tcPr>
            <w:tcW w:w="4413" w:type="dxa"/>
            <w:gridSpan w:val="4"/>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申请单位地址</w:t>
            </w:r>
          </w:p>
        </w:tc>
        <w:tc>
          <w:tcPr>
            <w:tcW w:w="4413" w:type="dxa"/>
            <w:gridSpan w:val="4"/>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提出申请时间</w:t>
            </w:r>
          </w:p>
        </w:tc>
        <w:tc>
          <w:tcPr>
            <w:tcW w:w="4413" w:type="dxa"/>
            <w:gridSpan w:val="4"/>
            <w:shd w:val="clear" w:color="auto" w:fill="auto"/>
            <w:vAlign w:val="center"/>
          </w:tcPr>
          <w:p>
            <w:pPr>
              <w:suppressAutoHyphens/>
              <w:adjustRightInd w:val="0"/>
              <w:snapToGrid w:val="0"/>
              <w:jc w:val="center"/>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申请单位业务负责人姓名</w:t>
            </w:r>
          </w:p>
        </w:tc>
        <w:tc>
          <w:tcPr>
            <w:tcW w:w="1746" w:type="dxa"/>
            <w:shd w:val="clear" w:color="auto" w:fill="auto"/>
            <w:vAlign w:val="center"/>
          </w:tcPr>
          <w:p>
            <w:pPr>
              <w:suppressAutoHyphens/>
              <w:adjustRightInd w:val="0"/>
              <w:snapToGrid w:val="0"/>
              <w:jc w:val="center"/>
              <w:rPr>
                <w:rFonts w:ascii="宋体" w:hAnsi="宋体"/>
                <w:sz w:val="21"/>
                <w:szCs w:val="21"/>
              </w:rPr>
            </w:pPr>
          </w:p>
        </w:tc>
        <w:tc>
          <w:tcPr>
            <w:tcW w:w="1054" w:type="dxa"/>
            <w:gridSpan w:val="2"/>
            <w:shd w:val="clear" w:color="auto" w:fill="auto"/>
            <w:vAlign w:val="center"/>
          </w:tcPr>
          <w:p>
            <w:pPr>
              <w:suppressAutoHyphens/>
              <w:adjustRightInd w:val="0"/>
              <w:snapToGrid w:val="0"/>
              <w:jc w:val="center"/>
              <w:rPr>
                <w:rFonts w:ascii="宋体" w:hAnsi="宋体"/>
                <w:sz w:val="21"/>
                <w:szCs w:val="21"/>
              </w:rPr>
            </w:pPr>
            <w:r>
              <w:rPr>
                <w:rFonts w:hint="eastAsia" w:ascii="宋体" w:hAnsi="宋体"/>
                <w:sz w:val="21"/>
                <w:szCs w:val="21"/>
              </w:rPr>
              <w:t>性别</w:t>
            </w:r>
          </w:p>
        </w:tc>
        <w:tc>
          <w:tcPr>
            <w:tcW w:w="1613" w:type="dxa"/>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申请单位业务负责人联系方式</w:t>
            </w:r>
          </w:p>
        </w:tc>
        <w:tc>
          <w:tcPr>
            <w:tcW w:w="4413" w:type="dxa"/>
            <w:gridSpan w:val="4"/>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非学历证书名称</w:t>
            </w:r>
          </w:p>
        </w:tc>
        <w:tc>
          <w:tcPr>
            <w:tcW w:w="4413" w:type="dxa"/>
            <w:gridSpan w:val="4"/>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证书颁发单位、部门及证书级别</w:t>
            </w:r>
          </w:p>
        </w:tc>
        <w:tc>
          <w:tcPr>
            <w:tcW w:w="4413" w:type="dxa"/>
            <w:gridSpan w:val="4"/>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考核方式（考试、考核）</w:t>
            </w:r>
          </w:p>
        </w:tc>
        <w:tc>
          <w:tcPr>
            <w:tcW w:w="4413" w:type="dxa"/>
            <w:gridSpan w:val="4"/>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3" w:type="dxa"/>
            <w:gridSpan w:val="3"/>
            <w:shd w:val="clear" w:color="auto" w:fill="auto"/>
            <w:vAlign w:val="center"/>
          </w:tcPr>
          <w:p>
            <w:pPr>
              <w:suppressAutoHyphens/>
              <w:adjustRightInd w:val="0"/>
              <w:snapToGrid w:val="0"/>
              <w:jc w:val="left"/>
              <w:rPr>
                <w:rFonts w:ascii="宋体" w:hAnsi="宋体"/>
                <w:sz w:val="21"/>
                <w:szCs w:val="21"/>
              </w:rPr>
            </w:pPr>
            <w:r>
              <w:rPr>
                <w:rFonts w:hint="eastAsia" w:ascii="宋体" w:hAnsi="宋体"/>
                <w:sz w:val="21"/>
                <w:szCs w:val="21"/>
              </w:rPr>
              <w:t>证书适用的行业及工作种类</w:t>
            </w:r>
          </w:p>
        </w:tc>
        <w:tc>
          <w:tcPr>
            <w:tcW w:w="4413" w:type="dxa"/>
            <w:gridSpan w:val="4"/>
            <w:shd w:val="clear" w:color="auto" w:fill="auto"/>
            <w:vAlign w:val="center"/>
          </w:tcPr>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64" w:type="dxa"/>
            <w:shd w:val="clear" w:color="auto" w:fill="auto"/>
            <w:vAlign w:val="center"/>
          </w:tcPr>
          <w:p>
            <w:pPr>
              <w:suppressAutoHyphens/>
              <w:adjustRightInd w:val="0"/>
              <w:snapToGrid w:val="0"/>
              <w:jc w:val="center"/>
              <w:rPr>
                <w:rFonts w:ascii="宋体" w:hAnsi="宋体"/>
                <w:sz w:val="21"/>
                <w:szCs w:val="21"/>
              </w:rPr>
            </w:pPr>
            <w:r>
              <w:rPr>
                <w:rFonts w:hint="eastAsia" w:ascii="宋体" w:hAnsi="宋体"/>
                <w:sz w:val="21"/>
                <w:szCs w:val="21"/>
              </w:rPr>
              <w:t>取得非学历证书的考试课程及使用教材</w:t>
            </w:r>
          </w:p>
        </w:tc>
        <w:tc>
          <w:tcPr>
            <w:tcW w:w="6592" w:type="dxa"/>
            <w:gridSpan w:val="6"/>
            <w:shd w:val="clear" w:color="auto" w:fill="auto"/>
            <w:vAlign w:val="center"/>
          </w:tcPr>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64" w:type="dxa"/>
            <w:shd w:val="clear" w:color="auto" w:fill="auto"/>
            <w:vAlign w:val="center"/>
          </w:tcPr>
          <w:p>
            <w:pPr>
              <w:suppressAutoHyphens/>
              <w:adjustRightInd w:val="0"/>
              <w:snapToGrid w:val="0"/>
              <w:ind w:left="108"/>
              <w:jc w:val="center"/>
              <w:rPr>
                <w:rFonts w:hint="eastAsia" w:ascii="宋体" w:hAnsi="宋体"/>
                <w:sz w:val="21"/>
                <w:szCs w:val="21"/>
              </w:rPr>
            </w:pPr>
            <w:r>
              <w:rPr>
                <w:rFonts w:hint="eastAsia" w:ascii="宋体" w:hAnsi="宋体"/>
                <w:sz w:val="21"/>
                <w:szCs w:val="21"/>
              </w:rPr>
              <w:t>对应自考学历课程名称及代码及比重</w:t>
            </w:r>
          </w:p>
        </w:tc>
        <w:tc>
          <w:tcPr>
            <w:tcW w:w="6592" w:type="dxa"/>
            <w:gridSpan w:val="6"/>
            <w:shd w:val="clear" w:color="auto" w:fill="auto"/>
            <w:vAlign w:val="center"/>
          </w:tcPr>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64" w:type="dxa"/>
            <w:shd w:val="clear" w:color="auto" w:fill="auto"/>
            <w:vAlign w:val="center"/>
          </w:tcPr>
          <w:p>
            <w:pPr>
              <w:suppressAutoHyphens/>
              <w:adjustRightInd w:val="0"/>
              <w:snapToGrid w:val="0"/>
              <w:ind w:left="108"/>
              <w:jc w:val="center"/>
              <w:rPr>
                <w:rFonts w:hint="eastAsia" w:ascii="宋体" w:hAnsi="宋体"/>
                <w:sz w:val="21"/>
                <w:szCs w:val="21"/>
              </w:rPr>
            </w:pPr>
            <w:r>
              <w:rPr>
                <w:rFonts w:hint="eastAsia" w:ascii="宋体" w:hAnsi="宋体"/>
                <w:sz w:val="21"/>
                <w:szCs w:val="21"/>
              </w:rPr>
              <w:t>近三年样卷（附后）</w:t>
            </w:r>
          </w:p>
        </w:tc>
        <w:tc>
          <w:tcPr>
            <w:tcW w:w="6592" w:type="dxa"/>
            <w:gridSpan w:val="6"/>
            <w:shd w:val="clear" w:color="auto" w:fill="auto"/>
            <w:vAlign w:val="center"/>
          </w:tcPr>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4" w:type="dxa"/>
            <w:shd w:val="clear" w:color="auto" w:fill="auto"/>
            <w:vAlign w:val="center"/>
          </w:tcPr>
          <w:p>
            <w:pPr>
              <w:suppressAutoHyphens/>
              <w:adjustRightInd w:val="0"/>
              <w:snapToGrid w:val="0"/>
              <w:ind w:left="108"/>
              <w:jc w:val="center"/>
              <w:rPr>
                <w:rFonts w:hint="eastAsia" w:ascii="宋体" w:hAnsi="宋体"/>
                <w:sz w:val="21"/>
                <w:szCs w:val="21"/>
              </w:rPr>
            </w:pPr>
            <w:r>
              <w:rPr>
                <w:rFonts w:hint="eastAsia" w:ascii="宋体" w:hAnsi="宋体"/>
                <w:sz w:val="21"/>
                <w:szCs w:val="21"/>
              </w:rPr>
              <w:t>论证意见</w:t>
            </w:r>
          </w:p>
        </w:tc>
        <w:tc>
          <w:tcPr>
            <w:tcW w:w="6592" w:type="dxa"/>
            <w:gridSpan w:val="6"/>
            <w:shd w:val="clear" w:color="auto" w:fill="auto"/>
            <w:vAlign w:val="center"/>
          </w:tcPr>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p>
            <w:pPr>
              <w:suppressAutoHyphens/>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4" w:type="dxa"/>
            <w:shd w:val="clear" w:color="auto" w:fill="auto"/>
            <w:vAlign w:val="center"/>
          </w:tcPr>
          <w:p>
            <w:pPr>
              <w:suppressAutoHyphens/>
              <w:adjustRightInd w:val="0"/>
              <w:snapToGrid w:val="0"/>
              <w:ind w:left="108"/>
              <w:jc w:val="left"/>
              <w:rPr>
                <w:rFonts w:hint="eastAsia" w:ascii="宋体" w:hAnsi="宋体"/>
                <w:sz w:val="21"/>
                <w:szCs w:val="21"/>
              </w:rPr>
            </w:pPr>
            <w:r>
              <w:rPr>
                <w:rFonts w:hint="eastAsia" w:ascii="宋体" w:hAnsi="宋体"/>
                <w:sz w:val="21"/>
                <w:szCs w:val="21"/>
              </w:rPr>
              <w:t>论证时间</w:t>
            </w:r>
          </w:p>
        </w:tc>
        <w:tc>
          <w:tcPr>
            <w:tcW w:w="6592" w:type="dxa"/>
            <w:gridSpan w:val="6"/>
            <w:shd w:val="clear" w:color="auto" w:fill="auto"/>
            <w:vAlign w:val="center"/>
          </w:tcPr>
          <w:p>
            <w:pPr>
              <w:suppressAutoHyphens/>
              <w:adjustRightInd w:val="0"/>
              <w:snapToGrid w:val="0"/>
              <w:ind w:left="108"/>
              <w:jc w:val="center"/>
              <w:rPr>
                <w:rFonts w:hint="eastAsia"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4" w:type="dxa"/>
            <w:shd w:val="clear" w:color="auto" w:fill="auto"/>
            <w:vAlign w:val="center"/>
          </w:tcPr>
          <w:p>
            <w:pPr>
              <w:suppressAutoHyphens/>
              <w:adjustRightInd w:val="0"/>
              <w:snapToGrid w:val="0"/>
              <w:ind w:left="108"/>
              <w:jc w:val="left"/>
              <w:rPr>
                <w:rFonts w:hint="eastAsia" w:ascii="宋体" w:hAnsi="宋体"/>
                <w:sz w:val="21"/>
                <w:szCs w:val="21"/>
              </w:rPr>
            </w:pPr>
            <w:r>
              <w:rPr>
                <w:rFonts w:hint="eastAsia" w:ascii="宋体" w:hAnsi="宋体"/>
                <w:sz w:val="21"/>
                <w:szCs w:val="21"/>
              </w:rPr>
              <w:t>专家姓名</w:t>
            </w:r>
          </w:p>
        </w:tc>
        <w:tc>
          <w:tcPr>
            <w:tcW w:w="1797" w:type="dxa"/>
            <w:shd w:val="clear" w:color="auto" w:fill="auto"/>
            <w:vAlign w:val="center"/>
          </w:tcPr>
          <w:p>
            <w:pPr>
              <w:suppressAutoHyphens/>
              <w:adjustRightInd w:val="0"/>
              <w:snapToGrid w:val="0"/>
              <w:ind w:left="108"/>
              <w:jc w:val="center"/>
              <w:rPr>
                <w:rFonts w:hint="eastAsia" w:ascii="宋体" w:hAnsi="宋体"/>
                <w:sz w:val="21"/>
                <w:szCs w:val="21"/>
              </w:rPr>
            </w:pPr>
            <w:r>
              <w:rPr>
                <w:rFonts w:hint="eastAsia" w:ascii="宋体" w:hAnsi="宋体"/>
                <w:sz w:val="21"/>
                <w:szCs w:val="21"/>
              </w:rPr>
              <w:t>职务或职称</w:t>
            </w:r>
          </w:p>
        </w:tc>
        <w:tc>
          <w:tcPr>
            <w:tcW w:w="2388" w:type="dxa"/>
            <w:gridSpan w:val="3"/>
            <w:shd w:val="clear" w:color="auto" w:fill="auto"/>
            <w:vAlign w:val="center"/>
          </w:tcPr>
          <w:p>
            <w:pPr>
              <w:suppressAutoHyphens/>
              <w:adjustRightInd w:val="0"/>
              <w:snapToGrid w:val="0"/>
              <w:ind w:left="108"/>
              <w:jc w:val="center"/>
              <w:rPr>
                <w:rFonts w:hint="eastAsia" w:ascii="宋体" w:hAnsi="宋体"/>
                <w:sz w:val="21"/>
                <w:szCs w:val="21"/>
              </w:rPr>
            </w:pPr>
            <w:r>
              <w:rPr>
                <w:rFonts w:hint="eastAsia" w:ascii="宋体" w:hAnsi="宋体"/>
                <w:sz w:val="21"/>
                <w:szCs w:val="21"/>
              </w:rPr>
              <w:t>单位及部门</w:t>
            </w:r>
          </w:p>
        </w:tc>
        <w:tc>
          <w:tcPr>
            <w:tcW w:w="2407" w:type="dxa"/>
            <w:gridSpan w:val="2"/>
            <w:shd w:val="clear" w:color="auto" w:fill="auto"/>
            <w:vAlign w:val="center"/>
          </w:tcPr>
          <w:p>
            <w:pPr>
              <w:suppressAutoHyphens/>
              <w:adjustRightInd w:val="0"/>
              <w:snapToGrid w:val="0"/>
              <w:ind w:left="108"/>
              <w:jc w:val="center"/>
              <w:rPr>
                <w:rFonts w:hint="eastAsia" w:ascii="宋体" w:hAnsi="宋体"/>
                <w:sz w:val="21"/>
                <w:szCs w:val="21"/>
              </w:rPr>
            </w:pPr>
            <w:r>
              <w:rPr>
                <w:rFonts w:hint="eastAsia" w:ascii="宋体" w:hAnsi="宋体"/>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4" w:type="dxa"/>
            <w:shd w:val="clear" w:color="auto" w:fill="auto"/>
          </w:tcPr>
          <w:p>
            <w:pPr>
              <w:suppressAutoHyphens/>
              <w:adjustRightInd w:val="0"/>
              <w:snapToGrid w:val="0"/>
              <w:ind w:left="108"/>
              <w:jc w:val="left"/>
              <w:rPr>
                <w:rFonts w:hint="eastAsia" w:ascii="宋体" w:hAnsi="宋体"/>
                <w:sz w:val="21"/>
                <w:szCs w:val="21"/>
              </w:rPr>
            </w:pPr>
          </w:p>
        </w:tc>
        <w:tc>
          <w:tcPr>
            <w:tcW w:w="1797" w:type="dxa"/>
            <w:shd w:val="clear" w:color="auto" w:fill="auto"/>
          </w:tcPr>
          <w:p>
            <w:pPr>
              <w:suppressAutoHyphens/>
              <w:adjustRightInd w:val="0"/>
              <w:snapToGrid w:val="0"/>
              <w:ind w:left="108"/>
              <w:jc w:val="left"/>
              <w:rPr>
                <w:rFonts w:hint="eastAsia" w:ascii="宋体" w:hAnsi="宋体"/>
                <w:sz w:val="21"/>
                <w:szCs w:val="21"/>
              </w:rPr>
            </w:pPr>
          </w:p>
        </w:tc>
        <w:tc>
          <w:tcPr>
            <w:tcW w:w="2388" w:type="dxa"/>
            <w:gridSpan w:val="3"/>
            <w:shd w:val="clear" w:color="auto" w:fill="auto"/>
          </w:tcPr>
          <w:p>
            <w:pPr>
              <w:suppressAutoHyphens/>
              <w:adjustRightInd w:val="0"/>
              <w:snapToGrid w:val="0"/>
              <w:ind w:left="108"/>
              <w:jc w:val="left"/>
              <w:rPr>
                <w:rFonts w:hint="eastAsia" w:ascii="宋体" w:hAnsi="宋体"/>
                <w:sz w:val="21"/>
                <w:szCs w:val="21"/>
              </w:rPr>
            </w:pPr>
          </w:p>
        </w:tc>
        <w:tc>
          <w:tcPr>
            <w:tcW w:w="2407" w:type="dxa"/>
            <w:gridSpan w:val="2"/>
            <w:shd w:val="clear" w:color="auto" w:fill="auto"/>
          </w:tcPr>
          <w:p>
            <w:pPr>
              <w:suppressAutoHyphens/>
              <w:adjustRightInd w:val="0"/>
              <w:snapToGrid w:val="0"/>
              <w:ind w:left="108"/>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4" w:type="dxa"/>
            <w:shd w:val="clear" w:color="auto" w:fill="auto"/>
          </w:tcPr>
          <w:p>
            <w:pPr>
              <w:suppressAutoHyphens/>
              <w:adjustRightInd w:val="0"/>
              <w:snapToGrid w:val="0"/>
              <w:ind w:left="108"/>
              <w:jc w:val="left"/>
              <w:rPr>
                <w:rFonts w:hint="eastAsia" w:ascii="宋体" w:hAnsi="宋体"/>
                <w:sz w:val="21"/>
                <w:szCs w:val="21"/>
              </w:rPr>
            </w:pPr>
          </w:p>
        </w:tc>
        <w:tc>
          <w:tcPr>
            <w:tcW w:w="1797" w:type="dxa"/>
            <w:shd w:val="clear" w:color="auto" w:fill="auto"/>
          </w:tcPr>
          <w:p>
            <w:pPr>
              <w:suppressAutoHyphens/>
              <w:adjustRightInd w:val="0"/>
              <w:snapToGrid w:val="0"/>
              <w:ind w:left="108"/>
              <w:jc w:val="left"/>
              <w:rPr>
                <w:rFonts w:hint="eastAsia" w:ascii="宋体" w:hAnsi="宋体"/>
                <w:sz w:val="21"/>
                <w:szCs w:val="21"/>
              </w:rPr>
            </w:pPr>
          </w:p>
        </w:tc>
        <w:tc>
          <w:tcPr>
            <w:tcW w:w="2388" w:type="dxa"/>
            <w:gridSpan w:val="3"/>
            <w:shd w:val="clear" w:color="auto" w:fill="auto"/>
          </w:tcPr>
          <w:p>
            <w:pPr>
              <w:suppressAutoHyphens/>
              <w:adjustRightInd w:val="0"/>
              <w:snapToGrid w:val="0"/>
              <w:ind w:left="108"/>
              <w:jc w:val="left"/>
              <w:rPr>
                <w:rFonts w:hint="eastAsia" w:ascii="宋体" w:hAnsi="宋体"/>
                <w:sz w:val="21"/>
                <w:szCs w:val="21"/>
              </w:rPr>
            </w:pPr>
          </w:p>
        </w:tc>
        <w:tc>
          <w:tcPr>
            <w:tcW w:w="2407" w:type="dxa"/>
            <w:gridSpan w:val="2"/>
            <w:shd w:val="clear" w:color="auto" w:fill="auto"/>
          </w:tcPr>
          <w:p>
            <w:pPr>
              <w:suppressAutoHyphens/>
              <w:adjustRightInd w:val="0"/>
              <w:snapToGrid w:val="0"/>
              <w:ind w:left="108"/>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4" w:type="dxa"/>
            <w:shd w:val="clear" w:color="auto" w:fill="auto"/>
          </w:tcPr>
          <w:p>
            <w:pPr>
              <w:suppressAutoHyphens/>
              <w:adjustRightInd w:val="0"/>
              <w:snapToGrid w:val="0"/>
              <w:ind w:left="108"/>
              <w:jc w:val="left"/>
              <w:rPr>
                <w:rFonts w:hint="eastAsia" w:ascii="宋体" w:hAnsi="宋体"/>
                <w:sz w:val="21"/>
                <w:szCs w:val="21"/>
              </w:rPr>
            </w:pPr>
          </w:p>
        </w:tc>
        <w:tc>
          <w:tcPr>
            <w:tcW w:w="1797" w:type="dxa"/>
            <w:shd w:val="clear" w:color="auto" w:fill="auto"/>
          </w:tcPr>
          <w:p>
            <w:pPr>
              <w:suppressAutoHyphens/>
              <w:adjustRightInd w:val="0"/>
              <w:snapToGrid w:val="0"/>
              <w:ind w:left="108"/>
              <w:jc w:val="left"/>
              <w:rPr>
                <w:rFonts w:hint="eastAsia" w:ascii="宋体" w:hAnsi="宋体"/>
                <w:sz w:val="21"/>
                <w:szCs w:val="21"/>
              </w:rPr>
            </w:pPr>
          </w:p>
        </w:tc>
        <w:tc>
          <w:tcPr>
            <w:tcW w:w="2388" w:type="dxa"/>
            <w:gridSpan w:val="3"/>
            <w:shd w:val="clear" w:color="auto" w:fill="auto"/>
          </w:tcPr>
          <w:p>
            <w:pPr>
              <w:suppressAutoHyphens/>
              <w:adjustRightInd w:val="0"/>
              <w:snapToGrid w:val="0"/>
              <w:ind w:left="108"/>
              <w:jc w:val="left"/>
              <w:rPr>
                <w:rFonts w:hint="eastAsia" w:ascii="宋体" w:hAnsi="宋体"/>
                <w:sz w:val="21"/>
                <w:szCs w:val="21"/>
              </w:rPr>
            </w:pPr>
          </w:p>
        </w:tc>
        <w:tc>
          <w:tcPr>
            <w:tcW w:w="2407" w:type="dxa"/>
            <w:gridSpan w:val="2"/>
            <w:shd w:val="clear" w:color="auto" w:fill="auto"/>
          </w:tcPr>
          <w:p>
            <w:pPr>
              <w:suppressAutoHyphens/>
              <w:adjustRightInd w:val="0"/>
              <w:snapToGrid w:val="0"/>
              <w:ind w:left="108"/>
              <w:jc w:val="left"/>
              <w:rPr>
                <w:rFonts w:hint="eastAsia" w:ascii="宋体" w:hAnsi="宋体"/>
                <w:sz w:val="21"/>
                <w:szCs w:val="21"/>
              </w:rPr>
            </w:pPr>
          </w:p>
        </w:tc>
      </w:tr>
    </w:tbl>
    <w:p>
      <w:pPr>
        <w:suppressAutoHyphens/>
        <w:jc w:val="left"/>
        <w:rPr>
          <w:rFonts w:hint="eastAsia" w:ascii="宋体" w:hAnsi="宋体"/>
          <w:b/>
        </w:rPr>
      </w:pPr>
      <w:r>
        <w:rPr>
          <w:rFonts w:ascii="宋体" w:hAnsi="宋体"/>
        </w:rPr>
        <w:br w:type="page"/>
      </w:r>
      <w:r>
        <w:rPr>
          <w:rFonts w:hint="eastAsia" w:ascii="宋体" w:hAnsi="宋体"/>
          <w:b/>
        </w:rPr>
        <w:t>附件2：</w:t>
      </w:r>
    </w:p>
    <w:p>
      <w:pPr>
        <w:suppressAutoHyphens/>
        <w:jc w:val="left"/>
        <w:rPr>
          <w:rFonts w:hint="eastAsia" w:ascii="宋体" w:hAnsi="宋体"/>
          <w:b/>
        </w:rPr>
      </w:pPr>
    </w:p>
    <w:p>
      <w:pPr>
        <w:pStyle w:val="7"/>
        <w:rPr>
          <w:rFonts w:hint="eastAsia"/>
          <w:color w:val="auto"/>
        </w:rPr>
      </w:pPr>
      <w:r>
        <w:rPr>
          <w:rFonts w:hint="eastAsia"/>
          <w:color w:val="auto"/>
        </w:rPr>
        <w:t>四川省高等教育自学考试非学历证书课程认证承诺书</w:t>
      </w:r>
    </w:p>
    <w:p>
      <w:pPr>
        <w:suppressAutoHyphens/>
        <w:jc w:val="center"/>
        <w:rPr>
          <w:rFonts w:hint="eastAsia" w:ascii="宋体" w:hAnsi="宋体"/>
          <w:b/>
        </w:rPr>
      </w:pPr>
    </w:p>
    <w:p>
      <w:pPr>
        <w:suppressAutoHyphens/>
        <w:ind w:firstLine="480" w:firstLineChars="200"/>
        <w:jc w:val="left"/>
        <w:rPr>
          <w:rFonts w:hint="eastAsia" w:ascii="宋体" w:hAnsi="宋体"/>
        </w:rPr>
      </w:pPr>
      <w:r>
        <w:rPr>
          <w:rFonts w:hint="eastAsia" w:ascii="宋体" w:hAnsi="宋体"/>
          <w:u w:val="single"/>
        </w:rPr>
        <w:t xml:space="preserve">（申请单位名称）                              </w:t>
      </w:r>
      <w:r>
        <w:rPr>
          <w:rFonts w:hint="eastAsia" w:ascii="宋体" w:hAnsi="宋体"/>
        </w:rPr>
        <w:t>作为向四川省教育考试院提出高等教育自学考试非学历证书课程认证的申请单位，郑重承诺：</w:t>
      </w:r>
    </w:p>
    <w:p>
      <w:pPr>
        <w:pStyle w:val="4"/>
        <w:numPr>
          <w:ilvl w:val="0"/>
          <w:numId w:val="1"/>
        </w:numPr>
        <w:suppressAutoHyphens/>
        <w:ind w:firstLine="0" w:firstLineChars="0"/>
        <w:jc w:val="left"/>
        <w:rPr>
          <w:rFonts w:hint="eastAsia" w:ascii="宋体" w:hAnsi="宋体"/>
        </w:rPr>
      </w:pPr>
      <w:r>
        <w:rPr>
          <w:rFonts w:hint="eastAsia" w:ascii="宋体" w:hAnsi="宋体"/>
        </w:rPr>
        <w:t>申请认证的证书真实、有效；</w:t>
      </w:r>
    </w:p>
    <w:p>
      <w:pPr>
        <w:pStyle w:val="4"/>
        <w:numPr>
          <w:ilvl w:val="0"/>
          <w:numId w:val="1"/>
        </w:numPr>
        <w:suppressAutoHyphens/>
        <w:ind w:firstLine="0" w:firstLineChars="0"/>
        <w:jc w:val="left"/>
        <w:rPr>
          <w:rFonts w:hint="eastAsia" w:ascii="宋体" w:hAnsi="宋体"/>
        </w:rPr>
      </w:pPr>
      <w:r>
        <w:rPr>
          <w:rFonts w:hint="eastAsia" w:ascii="宋体" w:hAnsi="宋体"/>
        </w:rPr>
        <w:t>申请认证的证书颁证单位是独立法人，且有权颁发；</w:t>
      </w:r>
    </w:p>
    <w:p>
      <w:pPr>
        <w:pStyle w:val="4"/>
        <w:numPr>
          <w:ilvl w:val="0"/>
          <w:numId w:val="1"/>
        </w:numPr>
        <w:suppressAutoHyphens/>
        <w:ind w:firstLine="0" w:firstLineChars="0"/>
        <w:jc w:val="left"/>
        <w:rPr>
          <w:rFonts w:hint="eastAsia" w:ascii="宋体" w:hAnsi="宋体"/>
        </w:rPr>
      </w:pPr>
      <w:r>
        <w:rPr>
          <w:rFonts w:hint="eastAsia" w:ascii="宋体" w:hAnsi="宋体"/>
        </w:rPr>
        <w:t>持证者在取得改证过程中无舞弊行为；</w:t>
      </w:r>
    </w:p>
    <w:p>
      <w:pPr>
        <w:pStyle w:val="4"/>
        <w:numPr>
          <w:ilvl w:val="0"/>
          <w:numId w:val="1"/>
        </w:numPr>
        <w:suppressAutoHyphens/>
        <w:ind w:firstLine="0" w:firstLineChars="0"/>
        <w:jc w:val="left"/>
        <w:rPr>
          <w:rFonts w:hint="eastAsia" w:ascii="宋体" w:hAnsi="宋体"/>
        </w:rPr>
      </w:pPr>
      <w:r>
        <w:rPr>
          <w:rFonts w:hint="eastAsia" w:ascii="宋体" w:hAnsi="宋体"/>
        </w:rPr>
        <w:t>专家论证充分、科学、客观、合理；</w:t>
      </w:r>
    </w:p>
    <w:p>
      <w:pPr>
        <w:pStyle w:val="4"/>
        <w:numPr>
          <w:ilvl w:val="0"/>
          <w:numId w:val="1"/>
        </w:numPr>
        <w:suppressAutoHyphens/>
        <w:ind w:firstLine="0" w:firstLineChars="0"/>
        <w:jc w:val="left"/>
        <w:rPr>
          <w:rFonts w:hint="eastAsia" w:ascii="宋体" w:hAnsi="宋体"/>
        </w:rPr>
      </w:pPr>
      <w:r>
        <w:rPr>
          <w:rFonts w:hint="eastAsia" w:ascii="宋体" w:hAnsi="宋体"/>
        </w:rPr>
        <w:t>《四川省高等教育自学考试非学历证书课程认证申请、论证表》中所填各项真实。</w:t>
      </w:r>
    </w:p>
    <w:p>
      <w:pPr>
        <w:suppressAutoHyphens/>
        <w:ind w:left="170" w:leftChars="71" w:firstLine="480" w:firstLineChars="200"/>
        <w:jc w:val="left"/>
        <w:rPr>
          <w:rFonts w:hint="eastAsia" w:ascii="宋体" w:hAnsi="宋体"/>
        </w:rPr>
      </w:pPr>
      <w:r>
        <w:rPr>
          <w:rFonts w:hint="eastAsia" w:ascii="宋体" w:hAnsi="宋体"/>
        </w:rPr>
        <w:t>如违反上述承诺，四川省教育考试院可依据《四川省高等教育自学考试非学历证书课程认证规定》解除对提出申请的非学历证书课程的认定。</w:t>
      </w:r>
    </w:p>
    <w:p>
      <w:pPr>
        <w:suppressAutoHyphens/>
        <w:ind w:left="150"/>
        <w:jc w:val="left"/>
        <w:rPr>
          <w:rFonts w:hint="eastAsia" w:ascii="宋体" w:hAnsi="宋体"/>
        </w:rPr>
      </w:pPr>
    </w:p>
    <w:p>
      <w:pPr>
        <w:suppressAutoHyphens/>
        <w:ind w:left="2842"/>
        <w:jc w:val="left"/>
        <w:rPr>
          <w:rFonts w:hint="eastAsia" w:ascii="宋体" w:hAnsi="宋体"/>
        </w:rPr>
      </w:pPr>
      <w:r>
        <w:rPr>
          <w:rFonts w:hint="eastAsia" w:ascii="宋体" w:hAnsi="宋体"/>
        </w:rPr>
        <w:t>承诺单位：</w:t>
      </w:r>
      <w:r>
        <w:rPr>
          <w:rFonts w:hint="eastAsia" w:ascii="宋体" w:hAnsi="宋体"/>
          <w:u w:val="single"/>
        </w:rPr>
        <w:t xml:space="preserve">                                    </w:t>
      </w:r>
      <w:r>
        <w:rPr>
          <w:rFonts w:hint="eastAsia" w:ascii="宋体" w:hAnsi="宋体"/>
        </w:rPr>
        <w:t>（盖章）</w:t>
      </w:r>
    </w:p>
    <w:p>
      <w:pPr>
        <w:suppressAutoHyphens/>
        <w:ind w:left="2842"/>
        <w:jc w:val="left"/>
        <w:rPr>
          <w:rFonts w:hint="eastAsia" w:ascii="宋体" w:hAnsi="宋体"/>
        </w:rPr>
      </w:pPr>
      <w:r>
        <w:rPr>
          <w:rFonts w:hint="eastAsia" w:ascii="宋体" w:hAnsi="宋体"/>
        </w:rPr>
        <w:t>法人代表签字：</w:t>
      </w:r>
      <w:r>
        <w:rPr>
          <w:rFonts w:hint="eastAsia" w:ascii="宋体" w:hAnsi="宋体"/>
          <w:u w:val="single"/>
        </w:rPr>
        <w:t xml:space="preserve">                                        </w:t>
      </w:r>
    </w:p>
    <w:p>
      <w:pPr>
        <w:suppressAutoHyphens/>
        <w:ind w:left="150"/>
        <w:jc w:val="left"/>
        <w:rPr>
          <w:rFonts w:hint="eastAsia" w:ascii="宋体" w:hAnsi="宋体"/>
        </w:rPr>
      </w:pPr>
    </w:p>
    <w:p>
      <w:pPr>
        <w:suppressAutoHyphens/>
        <w:ind w:left="150"/>
        <w:jc w:val="right"/>
        <w:rPr>
          <w:rFonts w:hint="eastAsia" w:ascii="宋体" w:hAnsi="宋体"/>
        </w:rPr>
      </w:pPr>
      <w:r>
        <w:rPr>
          <w:rFonts w:hint="eastAsia" w:ascii="宋体" w:hAnsi="宋体"/>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D4BE0"/>
    <w:multiLevelType w:val="multilevel"/>
    <w:tmpl w:val="65BD4BE0"/>
    <w:lvl w:ilvl="0" w:tentative="0">
      <w:start w:val="1"/>
      <w:numFmt w:val="decimal"/>
      <w:lvlText w:val="%1."/>
      <w:lvlJc w:val="left"/>
      <w:pPr>
        <w:ind w:left="510" w:hanging="360"/>
      </w:pPr>
      <w:rPr>
        <w:rFonts w:hint="default"/>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A7"/>
    <w:rsid w:val="00057E01"/>
    <w:rsid w:val="00D43B1E"/>
    <w:rsid w:val="00FD37A7"/>
    <w:rsid w:val="0F19414D"/>
    <w:rsid w:val="7C41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List Paragraph"/>
    <w:basedOn w:val="1"/>
    <w:unhideWhenUsed/>
    <w:qFormat/>
    <w:uiPriority w:val="99"/>
    <w:pPr>
      <w:ind w:firstLine="420" w:firstLineChars="200"/>
    </w:pPr>
  </w:style>
  <w:style w:type="paragraph" w:customStyle="1" w:styleId="5">
    <w:name w:val="样式12"/>
    <w:basedOn w:val="1"/>
    <w:qFormat/>
    <w:uiPriority w:val="0"/>
    <w:pPr>
      <w:keepNext/>
      <w:keepLines/>
      <w:spacing w:before="435" w:beforeLines="100"/>
      <w:jc w:val="center"/>
      <w:outlineLvl w:val="1"/>
    </w:pPr>
    <w:rPr>
      <w:rFonts w:ascii="方正楷体简体" w:eastAsia="方正楷体简体"/>
      <w:b/>
      <w:bCs/>
      <w:sz w:val="30"/>
      <w:szCs w:val="30"/>
    </w:rPr>
  </w:style>
  <w:style w:type="paragraph" w:customStyle="1" w:styleId="6">
    <w:name w:val="样式14"/>
    <w:basedOn w:val="1"/>
    <w:qFormat/>
    <w:uiPriority w:val="0"/>
    <w:pPr>
      <w:spacing w:before="108" w:beforeLines="25" w:after="108" w:afterLines="25"/>
      <w:ind w:firstLine="470" w:firstLineChars="196"/>
    </w:pPr>
    <w:rPr>
      <w:rFonts w:ascii="黑体" w:hAnsi="黑体" w:eastAsia="黑体"/>
      <w:color w:val="000000"/>
    </w:rPr>
  </w:style>
  <w:style w:type="paragraph" w:customStyle="1" w:styleId="7">
    <w:name w:val="样式18"/>
    <w:basedOn w:val="1"/>
    <w:qFormat/>
    <w:uiPriority w:val="0"/>
    <w:pPr>
      <w:suppressAutoHyphens/>
      <w:jc w:val="center"/>
    </w:pPr>
    <w:rPr>
      <w:rFonts w:ascii="黑体" w:hAnsi="黑体" w:eastAsia="黑体"/>
      <w:b/>
      <w:color w:val="000000"/>
      <w:sz w:val="32"/>
      <w:szCs w:val="32"/>
    </w:rPr>
  </w:style>
  <w:style w:type="paragraph" w:customStyle="1" w:styleId="8">
    <w:name w:val="样式19"/>
    <w:basedOn w:val="1"/>
    <w:qFormat/>
    <w:uiPriority w:val="0"/>
    <w:pPr>
      <w:adjustRightInd w:val="0"/>
      <w:snapToGrid w:val="0"/>
      <w:spacing w:line="264" w:lineRule="auto"/>
      <w:jc w:val="center"/>
      <w:outlineLvl w:val="0"/>
    </w:pPr>
    <w:rPr>
      <w:rFonts w:hAnsi="宋体" w:eastAsia="方正大标宋简体"/>
      <w:color w:val="000000"/>
      <w:spacing w:val="-10"/>
      <w:kern w:val="36"/>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429</Words>
  <Characters>2451</Characters>
  <Lines>20</Lines>
  <Paragraphs>5</Paragraphs>
  <TotalTime>2</TotalTime>
  <ScaleCrop>false</ScaleCrop>
  <LinksUpToDate>false</LinksUpToDate>
  <CharactersWithSpaces>2875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2018-04-12T08:27:00Z</dcterms:created>
  <dc:creator>龙祖利</dc:creator>
  <cp:lastModifiedBy>Administrator</cp:lastModifiedBy>
  <dcterms:modified xsi:type="dcterms:W3CDTF">2022-01-10T08:17:24Z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94A12D7AFFA442E18978848290A3D6BC</vt:lpwstr>
  </property>
</Properties>
</file>